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CF" w:rsidRDefault="00BE6449" w:rsidP="00BB38CD">
      <w:pPr>
        <w:jc w:val="center"/>
        <w:rPr>
          <w:rFonts w:cs="2  Titr" w:hint="cs"/>
          <w:rtl/>
        </w:rPr>
      </w:pPr>
      <w:r>
        <w:rPr>
          <w:rFonts w:cs="2 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-206734</wp:posOffset>
                </wp:positionH>
                <wp:positionV relativeFrom="paragraph">
                  <wp:posOffset>-151075</wp:posOffset>
                </wp:positionV>
                <wp:extent cx="6162261" cy="4357315"/>
                <wp:effectExtent l="0" t="0" r="10160" b="247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4357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DEA829" id="Rounded Rectangle 2" o:spid="_x0000_s1026" style="position:absolute;left:0;text-align:left;margin-left:-16.3pt;margin-top:-11.9pt;width:485.2pt;height:343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" fillcolor="#5b9bd5 [3204]" strokecolor="#1f4d78 [1604]" strokeweight="1pt">
                <v:stroke joinstyle="miter"/>
              </v:roundrect>
            </w:pict>
          </mc:Fallback>
        </mc:AlternateContent>
      </w:r>
      <w:r w:rsidR="00BB38CD">
        <w:rPr>
          <w:rFonts w:cs="2  Titr" w:hint="cs"/>
          <w:rtl/>
        </w:rPr>
        <w:t xml:space="preserve">بسمه تعالی </w:t>
      </w:r>
    </w:p>
    <w:p w:rsidR="00BB38CD" w:rsidRDefault="00BB38CD" w:rsidP="00BB38CD">
      <w:pPr>
        <w:jc w:val="center"/>
        <w:rPr>
          <w:rFonts w:cs="2  Titr" w:hint="cs"/>
          <w:rtl/>
        </w:rPr>
      </w:pPr>
      <w:r>
        <w:rPr>
          <w:rFonts w:cs="2  Titr" w:hint="cs"/>
          <w:rtl/>
        </w:rPr>
        <w:t xml:space="preserve">برنامه تابستانه آموزش ابتدایی دانشجویان پردیس طالقانی قم </w:t>
      </w:r>
    </w:p>
    <w:p w:rsidR="00BB38CD" w:rsidRPr="00BB38CD" w:rsidRDefault="00BB38CD" w:rsidP="00BB38CD">
      <w:pPr>
        <w:jc w:val="both"/>
        <w:rPr>
          <w:rFonts w:cs="2  Titr" w:hint="cs"/>
          <w:sz w:val="24"/>
          <w:szCs w:val="24"/>
          <w:rtl/>
        </w:rPr>
      </w:pPr>
      <w:r w:rsidRPr="00BB38CD">
        <w:rPr>
          <w:rFonts w:cs="2  Titr" w:hint="cs"/>
          <w:sz w:val="24"/>
          <w:szCs w:val="24"/>
          <w:rtl/>
        </w:rPr>
        <w:t xml:space="preserve">بدینوسیله به اطلاع دانشجویان آموزش ابتدایی پردیس طالقانی قم ورودی 91 می رساند که برای ترم تابستانه </w:t>
      </w:r>
      <w:r w:rsidRPr="00BB38CD">
        <w:rPr>
          <w:rFonts w:cs="2  Titr" w:hint="cs"/>
          <w:sz w:val="24"/>
          <w:szCs w:val="24"/>
          <w:u w:val="single"/>
          <w:rtl/>
        </w:rPr>
        <w:t>8</w:t>
      </w:r>
      <w:r w:rsidRPr="00BB38CD">
        <w:rPr>
          <w:rFonts w:cs="2  Titr" w:hint="cs"/>
          <w:sz w:val="24"/>
          <w:szCs w:val="24"/>
          <w:rtl/>
        </w:rPr>
        <w:t xml:space="preserve"> واحد درسی به شرح زیر در نظر گرفته شده است این دوره ازتاریخ 3/5/94 تا4/6/94در پردیس شهید باهنر اصفهان </w:t>
      </w:r>
      <w:r w:rsidRPr="00BB38CD">
        <w:rPr>
          <w:rFonts w:cs="2  Titr" w:hint="cs"/>
          <w:sz w:val="20"/>
          <w:szCs w:val="20"/>
          <w:rtl/>
        </w:rPr>
        <w:t xml:space="preserve">(خ کاوه </w:t>
      </w:r>
      <w:r w:rsidRPr="00BB38CD">
        <w:rPr>
          <w:rFonts w:ascii="Sakkal Majalla" w:hAnsi="Sakkal Majalla" w:cs="Sakkal Majalla" w:hint="cs"/>
          <w:sz w:val="20"/>
          <w:szCs w:val="20"/>
          <w:rtl/>
        </w:rPr>
        <w:t>–</w:t>
      </w:r>
      <w:r w:rsidRPr="00BB38CD">
        <w:rPr>
          <w:rFonts w:cs="2  Titr" w:hint="cs"/>
          <w:sz w:val="20"/>
          <w:szCs w:val="20"/>
          <w:rtl/>
        </w:rPr>
        <w:t>روبروی ترمینال کاوه - پردیس شهید باهنر )</w:t>
      </w:r>
      <w:r w:rsidRPr="00BB38CD">
        <w:rPr>
          <w:rFonts w:cs="2  Titr" w:hint="cs"/>
          <w:sz w:val="24"/>
          <w:szCs w:val="24"/>
          <w:rtl/>
        </w:rPr>
        <w:t xml:space="preserve">تشکیل میگرددلذا دانشجویان محترم با مراجعه به سامانه پردیس </w:t>
      </w:r>
      <w:r>
        <w:rPr>
          <w:rFonts w:cs="2  Titr" w:hint="cs"/>
          <w:sz w:val="24"/>
          <w:szCs w:val="24"/>
          <w:rtl/>
        </w:rPr>
        <w:t xml:space="preserve">طالقانی </w:t>
      </w:r>
      <w:r w:rsidRPr="00BB38CD">
        <w:rPr>
          <w:rFonts w:cs="2  Titr" w:hint="cs"/>
          <w:sz w:val="24"/>
          <w:szCs w:val="24"/>
          <w:rtl/>
        </w:rPr>
        <w:t xml:space="preserve">قم انتخاب واحد نموده وطبق برنامه </w:t>
      </w:r>
      <w:r>
        <w:rPr>
          <w:rFonts w:cs="2  Titr" w:hint="cs"/>
          <w:sz w:val="24"/>
          <w:szCs w:val="24"/>
          <w:rtl/>
        </w:rPr>
        <w:t>ا</w:t>
      </w:r>
      <w:r w:rsidRPr="00BB38CD">
        <w:rPr>
          <w:rFonts w:cs="2  Titr" w:hint="cs"/>
          <w:sz w:val="24"/>
          <w:szCs w:val="24"/>
          <w:rtl/>
        </w:rPr>
        <w:t>ی که متعاقبا روی سایت پردیس شهید باهنر اعلام می شود در کلاسهای درس حضور بهم رسانند .</w:t>
      </w:r>
    </w:p>
    <w:tbl>
      <w:tblPr>
        <w:tblStyle w:val="TableGrid"/>
        <w:bidiVisual/>
        <w:tblW w:w="0" w:type="auto"/>
        <w:tblInd w:w="-57" w:type="dxa"/>
        <w:tblLook w:val="04A0" w:firstRow="1" w:lastRow="0" w:firstColumn="1" w:lastColumn="0" w:noHBand="0" w:noVBand="1"/>
      </w:tblPr>
      <w:tblGrid>
        <w:gridCol w:w="2836"/>
        <w:gridCol w:w="3231"/>
        <w:gridCol w:w="2722"/>
      </w:tblGrid>
      <w:tr w:rsidR="00BB38CD" w:rsidRPr="00BB38CD" w:rsidTr="00BB38CD">
        <w:tc>
          <w:tcPr>
            <w:tcW w:w="2836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در س </w:t>
            </w:r>
          </w:p>
        </w:tc>
        <w:tc>
          <w:tcPr>
            <w:tcW w:w="3231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2722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نام استاد </w:t>
            </w:r>
          </w:p>
        </w:tc>
      </w:tr>
      <w:tr w:rsidR="00BB38CD" w:rsidRPr="00BB38CD" w:rsidTr="00BB38CD">
        <w:tc>
          <w:tcPr>
            <w:tcW w:w="2836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آموزش علوم تجربی </w:t>
            </w:r>
          </w:p>
        </w:tc>
        <w:tc>
          <w:tcPr>
            <w:tcW w:w="3231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3 واحد </w:t>
            </w:r>
          </w:p>
        </w:tc>
        <w:tc>
          <w:tcPr>
            <w:tcW w:w="2722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</w:p>
        </w:tc>
      </w:tr>
      <w:tr w:rsidR="00BB38CD" w:rsidRPr="00BB38CD" w:rsidTr="00BB38CD">
        <w:tc>
          <w:tcPr>
            <w:tcW w:w="2836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>فنون وراهنمایی مشاوره</w:t>
            </w:r>
          </w:p>
        </w:tc>
        <w:tc>
          <w:tcPr>
            <w:tcW w:w="3231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2 واحد </w:t>
            </w:r>
          </w:p>
        </w:tc>
        <w:tc>
          <w:tcPr>
            <w:tcW w:w="2722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</w:p>
        </w:tc>
      </w:tr>
      <w:tr w:rsidR="00BB38CD" w:rsidRPr="00BB38CD" w:rsidTr="00BB38CD">
        <w:tc>
          <w:tcPr>
            <w:tcW w:w="2836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3231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  <w:r w:rsidRPr="00BB38CD">
              <w:rPr>
                <w:rFonts w:cs="2  Titr" w:hint="cs"/>
                <w:sz w:val="24"/>
                <w:szCs w:val="24"/>
                <w:rtl/>
              </w:rPr>
              <w:t xml:space="preserve">3 واحد </w:t>
            </w:r>
          </w:p>
        </w:tc>
        <w:tc>
          <w:tcPr>
            <w:tcW w:w="2722" w:type="dxa"/>
          </w:tcPr>
          <w:p w:rsidR="00BB38CD" w:rsidRPr="00BB38CD" w:rsidRDefault="00BB38CD" w:rsidP="00BB38CD">
            <w:pPr>
              <w:jc w:val="center"/>
              <w:rPr>
                <w:rFonts w:cs="2  Titr" w:hint="cs"/>
                <w:sz w:val="24"/>
                <w:szCs w:val="24"/>
                <w:rtl/>
              </w:rPr>
            </w:pPr>
          </w:p>
        </w:tc>
      </w:tr>
    </w:tbl>
    <w:p w:rsidR="00BB38CD" w:rsidRPr="00BB38CD" w:rsidRDefault="00BB38CD" w:rsidP="00BB38CD">
      <w:pPr>
        <w:jc w:val="center"/>
        <w:rPr>
          <w:rFonts w:cs="2  Titr" w:hint="cs"/>
        </w:rPr>
      </w:pPr>
      <w:r>
        <w:rPr>
          <w:rFonts w:cs="2  Titr" w:hint="cs"/>
          <w:rtl/>
        </w:rPr>
        <w:t xml:space="preserve">معاونت آموزشی پردیس شهید باهنر </w:t>
      </w:r>
      <w:bookmarkStart w:id="0" w:name="_GoBack"/>
      <w:bookmarkEnd w:id="0"/>
    </w:p>
    <w:sectPr w:rsidR="00BB38CD" w:rsidRPr="00BB38CD" w:rsidSect="009E58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CD"/>
    <w:rsid w:val="00406BCF"/>
    <w:rsid w:val="009E58FD"/>
    <w:rsid w:val="00BB38CD"/>
    <w:rsid w:val="00BE6449"/>
    <w:rsid w:val="00C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A03181-037F-4B0F-B240-BE731F9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Lotus"/>
        <w:sz w:val="22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2015-07-14T09:27:00Z</dcterms:created>
  <dcterms:modified xsi:type="dcterms:W3CDTF">2015-07-14T09:38:00Z</dcterms:modified>
</cp:coreProperties>
</file>